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0" w:type="dxa"/>
        <w:tblInd w:w="-43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711"/>
        <w:gridCol w:w="2230"/>
        <w:gridCol w:w="1584"/>
        <w:gridCol w:w="3365"/>
        <w:gridCol w:w="2372"/>
        <w:gridCol w:w="48"/>
      </w:tblGrid>
      <w:tr w:rsidR="00FA36D7" w:rsidRPr="00306965" w:rsidTr="00841CD0">
        <w:trPr>
          <w:gridAfter w:val="1"/>
          <w:wAfter w:w="48" w:type="dxa"/>
          <w:trHeight w:val="1021"/>
        </w:trPr>
        <w:tc>
          <w:tcPr>
            <w:tcW w:w="10262" w:type="dxa"/>
            <w:gridSpan w:val="5"/>
            <w:tcBorders>
              <w:top w:val="thinThickSmallGap" w:sz="24" w:space="0" w:color="auto"/>
            </w:tcBorders>
            <w:shd w:val="clear" w:color="auto" w:fill="auto"/>
            <w:vAlign w:val="center"/>
          </w:tcPr>
          <w:p w:rsidR="00FA36D7" w:rsidRPr="00306965" w:rsidRDefault="00FA36D7" w:rsidP="00FB4938">
            <w:pPr>
              <w:tabs>
                <w:tab w:val="left" w:pos="3832"/>
              </w:tabs>
              <w:jc w:val="center"/>
              <w:rPr>
                <w:b/>
              </w:rPr>
            </w:pPr>
            <w:r w:rsidRPr="00306965">
              <w:rPr>
                <w:b/>
              </w:rPr>
              <w:t>OBRAZAC</w:t>
            </w:r>
          </w:p>
          <w:p w:rsidR="00FA36D7" w:rsidRPr="00306965" w:rsidRDefault="00FA36D7" w:rsidP="00146468">
            <w:pPr>
              <w:jc w:val="center"/>
            </w:pPr>
            <w:r w:rsidRPr="00306965">
              <w:rPr>
                <w:b/>
              </w:rPr>
              <w:t>izvješća o provedenom savjetovanju s javnošću</w:t>
            </w:r>
          </w:p>
        </w:tc>
      </w:tr>
      <w:tr w:rsidR="00FA36D7" w:rsidRPr="00306965" w:rsidTr="00841CD0">
        <w:trPr>
          <w:gridAfter w:val="1"/>
          <w:wAfter w:w="48" w:type="dxa"/>
          <w:trHeight w:val="1021"/>
        </w:trPr>
        <w:tc>
          <w:tcPr>
            <w:tcW w:w="4525" w:type="dxa"/>
            <w:gridSpan w:val="3"/>
            <w:tcBorders>
              <w:right w:val="single" w:sz="4" w:space="0" w:color="auto"/>
            </w:tcBorders>
            <w:shd w:val="clear" w:color="auto" w:fill="auto"/>
            <w:vAlign w:val="center"/>
          </w:tcPr>
          <w:p w:rsidR="00FA36D7" w:rsidRPr="00306965" w:rsidRDefault="00FA36D7" w:rsidP="00FB4938">
            <w:pPr>
              <w:rPr>
                <w:b/>
              </w:rPr>
            </w:pPr>
            <w:r w:rsidRPr="00306965">
              <w:rPr>
                <w:b/>
              </w:rPr>
              <w:t xml:space="preserve">Naziv nacrta odluke ili drugog općeg akta o kojem je savjetovanje provedeno </w:t>
            </w:r>
          </w:p>
        </w:tc>
        <w:tc>
          <w:tcPr>
            <w:tcW w:w="5737" w:type="dxa"/>
            <w:gridSpan w:val="2"/>
            <w:tcBorders>
              <w:left w:val="single" w:sz="4" w:space="0" w:color="auto"/>
            </w:tcBorders>
            <w:shd w:val="clear" w:color="auto" w:fill="auto"/>
            <w:vAlign w:val="center"/>
          </w:tcPr>
          <w:p w:rsidR="00FA36D7" w:rsidRPr="00306965" w:rsidRDefault="00A90943" w:rsidP="00A90943">
            <w:r w:rsidRPr="00306965">
              <w:t xml:space="preserve">Nacrt </w:t>
            </w:r>
            <w:r w:rsidR="00486B2D" w:rsidRPr="00486B2D">
              <w:t>prijedloga odluke o dopuni Odluke o grobljima</w:t>
            </w:r>
          </w:p>
        </w:tc>
      </w:tr>
      <w:tr w:rsidR="00FA36D7" w:rsidRPr="00306965" w:rsidTr="00841CD0">
        <w:trPr>
          <w:gridAfter w:val="1"/>
          <w:wAfter w:w="48" w:type="dxa"/>
          <w:trHeight w:val="1021"/>
        </w:trPr>
        <w:tc>
          <w:tcPr>
            <w:tcW w:w="4525" w:type="dxa"/>
            <w:gridSpan w:val="3"/>
            <w:tcBorders>
              <w:right w:val="single" w:sz="4" w:space="0" w:color="auto"/>
            </w:tcBorders>
            <w:shd w:val="clear" w:color="auto" w:fill="auto"/>
            <w:vAlign w:val="center"/>
          </w:tcPr>
          <w:p w:rsidR="00FA36D7" w:rsidRPr="00306965" w:rsidRDefault="00146468" w:rsidP="00FB4938">
            <w:pPr>
              <w:rPr>
                <w:b/>
              </w:rPr>
            </w:pPr>
            <w:r w:rsidRPr="00306965">
              <w:rPr>
                <w:b/>
              </w:rPr>
              <w:t>Ime i prezime gradskog zastupnika / naziv kluba gradskih zastupnika u Gradskoj skupštini Grada Zagreba nadležnog za izradu nacrta</w:t>
            </w:r>
          </w:p>
        </w:tc>
        <w:tc>
          <w:tcPr>
            <w:tcW w:w="5737" w:type="dxa"/>
            <w:gridSpan w:val="2"/>
            <w:tcBorders>
              <w:left w:val="single" w:sz="4" w:space="0" w:color="auto"/>
            </w:tcBorders>
            <w:shd w:val="clear" w:color="auto" w:fill="auto"/>
            <w:vAlign w:val="center"/>
          </w:tcPr>
          <w:p w:rsidR="00FA36D7" w:rsidRPr="00306965" w:rsidRDefault="00486B2D" w:rsidP="00146468">
            <w:pPr>
              <w:jc w:val="both"/>
            </w:pPr>
            <w:r>
              <w:t>Renato Petek</w:t>
            </w:r>
          </w:p>
        </w:tc>
      </w:tr>
      <w:tr w:rsidR="00FA36D7" w:rsidRPr="00306965" w:rsidTr="00841CD0">
        <w:trPr>
          <w:gridAfter w:val="1"/>
          <w:wAfter w:w="48" w:type="dxa"/>
          <w:trHeight w:val="1021"/>
        </w:trPr>
        <w:tc>
          <w:tcPr>
            <w:tcW w:w="4525" w:type="dxa"/>
            <w:gridSpan w:val="3"/>
            <w:tcBorders>
              <w:right w:val="single" w:sz="4" w:space="0" w:color="auto"/>
            </w:tcBorders>
            <w:shd w:val="clear" w:color="auto" w:fill="auto"/>
            <w:vAlign w:val="center"/>
          </w:tcPr>
          <w:p w:rsidR="00FA36D7" w:rsidRPr="00306965" w:rsidRDefault="00FA36D7" w:rsidP="00FB4938">
            <w:pPr>
              <w:jc w:val="both"/>
              <w:rPr>
                <w:b/>
              </w:rPr>
            </w:pPr>
            <w:r w:rsidRPr="00306965">
              <w:rPr>
                <w:b/>
              </w:rPr>
              <w:t>Vrijeme trajanja savjetovanja</w:t>
            </w:r>
          </w:p>
        </w:tc>
        <w:tc>
          <w:tcPr>
            <w:tcW w:w="5737" w:type="dxa"/>
            <w:gridSpan w:val="2"/>
            <w:tcBorders>
              <w:left w:val="single" w:sz="4" w:space="0" w:color="auto"/>
            </w:tcBorders>
            <w:shd w:val="clear" w:color="auto" w:fill="auto"/>
            <w:vAlign w:val="center"/>
          </w:tcPr>
          <w:p w:rsidR="00FA36D7" w:rsidRPr="00486B2D" w:rsidRDefault="00486B2D" w:rsidP="00FB4938">
            <w:pPr>
              <w:jc w:val="both"/>
            </w:pPr>
            <w:r w:rsidRPr="00486B2D">
              <w:t>14. listopada – 12. studeni 2021.</w:t>
            </w:r>
            <w:r w:rsidR="00A90943" w:rsidRPr="00486B2D">
              <w:t xml:space="preserve"> </w:t>
            </w:r>
          </w:p>
        </w:tc>
      </w:tr>
      <w:tr w:rsidR="00FA36D7" w:rsidRPr="00306965" w:rsidTr="00841CD0">
        <w:trPr>
          <w:gridAfter w:val="1"/>
          <w:wAfter w:w="48" w:type="dxa"/>
          <w:trHeight w:val="1021"/>
        </w:trPr>
        <w:tc>
          <w:tcPr>
            <w:tcW w:w="4525" w:type="dxa"/>
            <w:gridSpan w:val="3"/>
            <w:tcBorders>
              <w:right w:val="single" w:sz="4" w:space="0" w:color="auto"/>
            </w:tcBorders>
            <w:shd w:val="clear" w:color="auto" w:fill="auto"/>
            <w:vAlign w:val="center"/>
          </w:tcPr>
          <w:p w:rsidR="00FA36D7" w:rsidRPr="00306965" w:rsidRDefault="00FA36D7" w:rsidP="00FB4938">
            <w:pPr>
              <w:jc w:val="both"/>
              <w:rPr>
                <w:b/>
              </w:rPr>
            </w:pPr>
            <w:r w:rsidRPr="00306965">
              <w:rPr>
                <w:b/>
              </w:rPr>
              <w:t xml:space="preserve">Metoda savjetovanja </w:t>
            </w:r>
          </w:p>
        </w:tc>
        <w:tc>
          <w:tcPr>
            <w:tcW w:w="5737" w:type="dxa"/>
            <w:gridSpan w:val="2"/>
            <w:tcBorders>
              <w:left w:val="single" w:sz="4" w:space="0" w:color="auto"/>
            </w:tcBorders>
            <w:shd w:val="clear" w:color="auto" w:fill="auto"/>
            <w:vAlign w:val="center"/>
          </w:tcPr>
          <w:p w:rsidR="00FA36D7" w:rsidRPr="00306965" w:rsidRDefault="00FA36D7" w:rsidP="00FB4938">
            <w:pPr>
              <w:jc w:val="both"/>
            </w:pPr>
            <w:r w:rsidRPr="00306965">
              <w:t>Internetsko savjetovanje</w:t>
            </w:r>
          </w:p>
        </w:tc>
      </w:tr>
      <w:tr w:rsidR="00B176CD" w:rsidRPr="00306965" w:rsidTr="00841CD0">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711" w:type="dxa"/>
            <w:tcBorders>
              <w:top w:val="thinThickSmallGap" w:sz="24" w:space="0" w:color="auto"/>
              <w:left w:val="thinThickSmallGap" w:sz="24" w:space="0" w:color="auto"/>
            </w:tcBorders>
            <w:shd w:val="clear" w:color="auto" w:fill="auto"/>
            <w:vAlign w:val="center"/>
          </w:tcPr>
          <w:p w:rsidR="00B176CD" w:rsidRPr="00306965" w:rsidRDefault="00B176CD" w:rsidP="00944E2D">
            <w:pPr>
              <w:jc w:val="center"/>
            </w:pPr>
            <w:r w:rsidRPr="00306965">
              <w:t>Red. br.</w:t>
            </w:r>
          </w:p>
        </w:tc>
        <w:tc>
          <w:tcPr>
            <w:tcW w:w="2230" w:type="dxa"/>
            <w:tcBorders>
              <w:top w:val="thinThickSmallGap" w:sz="24" w:space="0" w:color="auto"/>
            </w:tcBorders>
            <w:shd w:val="clear" w:color="auto" w:fill="auto"/>
            <w:vAlign w:val="center"/>
          </w:tcPr>
          <w:p w:rsidR="00B176CD" w:rsidRPr="00306965" w:rsidRDefault="00B176CD" w:rsidP="00944E2D">
            <w:pPr>
              <w:jc w:val="center"/>
            </w:pPr>
            <w:r w:rsidRPr="00306965">
              <w:t>Predstavnici  javnosti (pojedinac, organizacija, institucija)</w:t>
            </w:r>
          </w:p>
        </w:tc>
        <w:tc>
          <w:tcPr>
            <w:tcW w:w="1584" w:type="dxa"/>
            <w:tcBorders>
              <w:top w:val="thinThickSmallGap" w:sz="24" w:space="0" w:color="auto"/>
            </w:tcBorders>
            <w:shd w:val="clear" w:color="auto" w:fill="auto"/>
            <w:vAlign w:val="center"/>
          </w:tcPr>
          <w:p w:rsidR="00B176CD" w:rsidRPr="00306965" w:rsidRDefault="00B176CD" w:rsidP="00944E2D">
            <w:r w:rsidRPr="00306965">
              <w:t>Članak na koji se odnosi primjedba/</w:t>
            </w:r>
          </w:p>
          <w:p w:rsidR="00B176CD" w:rsidRPr="00306965" w:rsidRDefault="00B176CD" w:rsidP="00944E2D">
            <w:r w:rsidRPr="00306965">
              <w:t>prijedlog</w:t>
            </w:r>
          </w:p>
        </w:tc>
        <w:tc>
          <w:tcPr>
            <w:tcW w:w="3365" w:type="dxa"/>
            <w:tcBorders>
              <w:top w:val="thinThickSmallGap" w:sz="24" w:space="0" w:color="auto"/>
            </w:tcBorders>
            <w:shd w:val="clear" w:color="auto" w:fill="auto"/>
            <w:vAlign w:val="center"/>
          </w:tcPr>
          <w:p w:rsidR="00B176CD" w:rsidRPr="00306965" w:rsidRDefault="00B176CD" w:rsidP="00944E2D">
            <w:pPr>
              <w:jc w:val="center"/>
            </w:pPr>
            <w:r w:rsidRPr="00306965">
              <w:t>Tekst primjedbe/</w:t>
            </w:r>
          </w:p>
          <w:p w:rsidR="00B176CD" w:rsidRPr="00306965" w:rsidRDefault="00B176CD" w:rsidP="00944E2D">
            <w:pPr>
              <w:jc w:val="center"/>
            </w:pPr>
            <w:r w:rsidRPr="00306965">
              <w:t>prijedloga</w:t>
            </w:r>
          </w:p>
        </w:tc>
        <w:tc>
          <w:tcPr>
            <w:tcW w:w="2420" w:type="dxa"/>
            <w:gridSpan w:val="2"/>
            <w:tcBorders>
              <w:top w:val="thinThickSmallGap" w:sz="24" w:space="0" w:color="auto"/>
              <w:right w:val="thinThickSmallGap" w:sz="24" w:space="0" w:color="auto"/>
            </w:tcBorders>
            <w:shd w:val="clear" w:color="auto" w:fill="auto"/>
            <w:vAlign w:val="center"/>
          </w:tcPr>
          <w:p w:rsidR="00B176CD" w:rsidRPr="00306965" w:rsidRDefault="00B176CD" w:rsidP="00944E2D">
            <w:pPr>
              <w:jc w:val="center"/>
            </w:pPr>
            <w:r w:rsidRPr="00306965">
              <w:t>Prihvaćanje/ neprihvaćanje primjedbe/ prijedloga sa obrazloženjem</w:t>
            </w:r>
          </w:p>
        </w:tc>
      </w:tr>
      <w:tr w:rsidR="00867B41" w:rsidRPr="00306965" w:rsidTr="00841CD0">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711" w:type="dxa"/>
            <w:tcBorders>
              <w:left w:val="thinThickSmallGap" w:sz="24" w:space="0" w:color="auto"/>
            </w:tcBorders>
            <w:shd w:val="clear" w:color="auto" w:fill="auto"/>
            <w:vAlign w:val="center"/>
          </w:tcPr>
          <w:p w:rsidR="00867B41" w:rsidRDefault="00867B41" w:rsidP="00867B41">
            <w:pPr>
              <w:spacing w:line="256" w:lineRule="auto"/>
              <w:rPr>
                <w:b/>
                <w:lang w:eastAsia="en-US"/>
              </w:rPr>
            </w:pPr>
            <w:r>
              <w:rPr>
                <w:b/>
                <w:lang w:eastAsia="en-US"/>
              </w:rPr>
              <w:t>1.</w:t>
            </w:r>
          </w:p>
        </w:tc>
        <w:tc>
          <w:tcPr>
            <w:tcW w:w="2230" w:type="dxa"/>
            <w:shd w:val="clear" w:color="auto" w:fill="auto"/>
            <w:vAlign w:val="center"/>
          </w:tcPr>
          <w:p w:rsidR="00867B41" w:rsidRDefault="00867B41" w:rsidP="00867B41">
            <w:pPr>
              <w:spacing w:line="256" w:lineRule="auto"/>
              <w:rPr>
                <w:lang w:eastAsia="en-US"/>
              </w:rPr>
            </w:pPr>
            <w:r>
              <w:rPr>
                <w:lang w:eastAsia="en-US"/>
              </w:rPr>
              <w:t>Roko Gruja, v.d. Voditelja podružnice Gradska groblja, Zagreb, Aleja Hermanna Bollea 27</w:t>
            </w:r>
          </w:p>
          <w:p w:rsidR="00867B41" w:rsidRDefault="00867B41" w:rsidP="00867B41">
            <w:pPr>
              <w:spacing w:line="256" w:lineRule="auto"/>
              <w:rPr>
                <w:lang w:eastAsia="en-US"/>
              </w:rPr>
            </w:pPr>
            <w:r>
              <w:rPr>
                <w:lang w:eastAsia="en-US"/>
              </w:rPr>
              <w:t>mail: Roko.Gruja@zgh.hr, mob. br. +385 91 458 1100</w:t>
            </w:r>
          </w:p>
          <w:p w:rsidR="00867B41" w:rsidRDefault="00867B41" w:rsidP="00867B41">
            <w:pPr>
              <w:spacing w:line="256" w:lineRule="auto"/>
              <w:rPr>
                <w:lang w:eastAsia="en-US"/>
              </w:rPr>
            </w:pPr>
          </w:p>
        </w:tc>
        <w:tc>
          <w:tcPr>
            <w:tcW w:w="1584" w:type="dxa"/>
            <w:shd w:val="clear" w:color="auto" w:fill="auto"/>
            <w:vAlign w:val="center"/>
          </w:tcPr>
          <w:p w:rsidR="00867B41" w:rsidRPr="00306965" w:rsidRDefault="00867B41" w:rsidP="00867B41">
            <w:r>
              <w:t>Načelna primjedba i prijedlog na predloženi nacrt</w:t>
            </w:r>
          </w:p>
        </w:tc>
        <w:tc>
          <w:tcPr>
            <w:tcW w:w="3365" w:type="dxa"/>
            <w:shd w:val="clear" w:color="auto" w:fill="auto"/>
            <w:vAlign w:val="center"/>
          </w:tcPr>
          <w:p w:rsidR="00867B41" w:rsidRDefault="00867B41" w:rsidP="00867B41">
            <w:pPr>
              <w:rPr>
                <w:color w:val="000000"/>
              </w:rPr>
            </w:pPr>
            <w:r>
              <w:t xml:space="preserve">Prijedlog za izmjenu Odluke o grobljima zasnovan je na tvrdnji da je određenim radovima (koji u obrazloženju prijedloga nisu posebno navedeni) </w:t>
            </w:r>
            <w:r>
              <w:rPr>
                <w:color w:val="000000"/>
              </w:rPr>
              <w:t xml:space="preserve">narušen kompleks groblja Mirogoj odnosno integritet groblja Mirogoj te da bi donošenje predloženih izmjena Odluke ubuduće očuvalo taj integritet (napominjemo da je kompleks groblja Mirogoj, koji kao posebna arhitektonska cjelina predstavlja nepokretno pojedinačno zaštićeno kulturno dobro, </w:t>
            </w:r>
            <w:r>
              <w:t>registriran pod brojem Z-1526 u Registru kulturnih dobara Republike Hrvatske,</w:t>
            </w:r>
            <w:r>
              <w:rPr>
                <w:color w:val="000000"/>
              </w:rPr>
              <w:t xml:space="preserve"> unutar kompleksa groblja Mirogoj kompleks arkada s crkvom Krista Kralja na Mirogoju registriran je pod brojem Z-681 u Registru kulturnih dobara Republike Hrvatske, a mrtvačnica na Mirogoju je registrirana u Registru kulturnih dobara Republike Hrvatske pod brojem </w:t>
            </w:r>
            <w:r>
              <w:rPr>
                <w:color w:val="000000"/>
              </w:rPr>
              <w:lastRenderedPageBreak/>
              <w:t>Z-682; dok je Zgrada krematorija na groblju Mirogoj kao preventivno zaštićeno dobro registrirana pod brojem P-6208 u Registru kulturnih dobara Republike Hrvatske).</w:t>
            </w:r>
          </w:p>
          <w:p w:rsidR="00867B41" w:rsidRDefault="00867B41" w:rsidP="00867B41">
            <w:r>
              <w:t>Nije obrazloženo koji radovi, čime i na koji način su narušili integritet groblja Mirogoj, te tko je i temeljem koje prakse koja se dosad vezano za uređenje primjenjivala i/ili kojih sada važećih propisa utvrdio da je doista došlo do narušavanja integriteta groblja. Da li se radi o stavu osoba koje se profesionalno bave poslovima vezanima za zaštitu spomenika kulture, a ako ne, tko je i na koji način utvrdio narušavanje integriteta u smislu Zakona o zaštiti i očuvanju kulturnih dobara (dalje: ZZOKD)?</w:t>
            </w:r>
          </w:p>
          <w:p w:rsidR="00867B41" w:rsidRDefault="00867B41" w:rsidP="00867B41">
            <w:r>
              <w:t>Već samo radi toga razloga smatramo da prijedlog nije adekvatno obrazložen i ne bi trebao biti usvojen.</w:t>
            </w:r>
          </w:p>
          <w:p w:rsidR="00867B41" w:rsidRDefault="00867B41" w:rsidP="00867B41"/>
          <w:p w:rsidR="00867B41" w:rsidRDefault="00867B41" w:rsidP="00867B41">
            <w:r>
              <w:t xml:space="preserve">Iz prijedloga se može steći dojam da je groblje Mirogoj slično grobljima </w:t>
            </w:r>
            <w:r>
              <w:rPr>
                <w:color w:val="000000"/>
              </w:rPr>
              <w:t xml:space="preserve">Starokatoličkom groblju, Bolničkom groblju i Starom groblju Sesvete. Naprotiv, groblje Mirogoj je </w:t>
            </w:r>
            <w:r>
              <w:t xml:space="preserve">aktivno groblje za koje, kao i za druga aktivna groblja, Podružnica Gradska groblja uobičajeno, sukladno ovlasti upravljanja grobljem, odlučuje o formiranju novih grobnih polja i grobnih mjesta. Također, ukoliko se grobno mjesto dodaje u postojeće polje, mijenjamo svoju evidenciju i evidencijski prikaz na tražilici pokojnika dostupan korisnicima naših usluga. Razlika u odnosu na druga groblja je to što je za groblje Mirogoj potrebno i prethodno odobrenje Gradskog </w:t>
            </w:r>
            <w:r>
              <w:lastRenderedPageBreak/>
              <w:t>zavoda za zaštitu spomenika kulture i prirode u Zagrebu (dalje: GZZSKP).</w:t>
            </w:r>
          </w:p>
          <w:p w:rsidR="00867B41" w:rsidRDefault="00867B41" w:rsidP="00867B41"/>
          <w:p w:rsidR="00867B41" w:rsidRDefault="00867B41" w:rsidP="00867B41">
            <w:pPr>
              <w:rPr>
                <w:u w:val="single"/>
              </w:rPr>
            </w:pPr>
            <w:r>
              <w:rPr>
                <w:b/>
              </w:rPr>
              <w:t xml:space="preserve">Nadalje, i najvažnije, prijedlog nije usklađen s postojećom zakonskom regulativom. </w:t>
            </w:r>
            <w:r>
              <w:rPr>
                <w:u w:val="single"/>
              </w:rPr>
              <w:t xml:space="preserve">Odluka o grobljima se donosi temeljem čl. 18 Zakona o grobljima i njome je Gradska skupština ovlaštena regulirati materiju u smislu toga zakona, ali ne suprotno </w:t>
            </w:r>
            <w:r>
              <w:t>ZZOKD-u</w:t>
            </w:r>
            <w:r>
              <w:rPr>
                <w:u w:val="single"/>
              </w:rPr>
              <w:t>. Kompleks groblja Mirogoj kao cjelina je zaštićen te je za sve odluke u vezi izvođenja radova, sukladno ZZOKD-u, ovlašten GZZSKP, a ne izravno Skupština Grada Zagreba. Ovlasti Skupštine i Gradonačelnika izrijekom su navedene ZZOKD-om.</w:t>
            </w:r>
          </w:p>
          <w:p w:rsidR="00867B41" w:rsidRDefault="00867B41" w:rsidP="00867B41"/>
          <w:p w:rsidR="00867B41" w:rsidRDefault="00867B41" w:rsidP="00867B41">
            <w:pPr>
              <w:tabs>
                <w:tab w:val="left" w:pos="6285"/>
              </w:tabs>
            </w:pPr>
            <w:r>
              <w:t>Usvajanjem predloženih izmjena otežao bi se ili onemogućio dovršetak projekata koji su pripremljeni i planira se njihovo izvođenje nakon utvrđivanja građevinske čestice groblja Mirogoj:</w:t>
            </w:r>
          </w:p>
          <w:p w:rsidR="00867B41" w:rsidRDefault="00867B41" w:rsidP="00867B41">
            <w:pPr>
              <w:tabs>
                <w:tab w:val="left" w:pos="6285"/>
              </w:tabs>
            </w:pPr>
            <w:r>
              <w:t>1. pješačka zona – Aleja Hermana Bollea (od glavnog ulaza prema sjeveru) – napravljen projekt i dobiveno mišljenje GZZSKP-a,</w:t>
            </w:r>
          </w:p>
          <w:p w:rsidR="00867B41" w:rsidRDefault="00867B41" w:rsidP="00867B41">
            <w:pPr>
              <w:tabs>
                <w:tab w:val="left" w:pos="6285"/>
              </w:tabs>
            </w:pPr>
            <w:r>
              <w:t>2. južni aneks kolumbarijskog ogradnog zida – napravljen projekt – završetak kolumbarijskog zida uz Remetsku cestu,</w:t>
            </w:r>
          </w:p>
          <w:p w:rsidR="00867B41" w:rsidRDefault="00867B41" w:rsidP="00867B41">
            <w:pPr>
              <w:tabs>
                <w:tab w:val="left" w:pos="6285"/>
              </w:tabs>
            </w:pPr>
            <w:r>
              <w:t>3. južne arkade – napravljen projekt (od početka južnih arkada do završetka 108 polja), te</w:t>
            </w:r>
          </w:p>
          <w:p w:rsidR="00867B41" w:rsidRDefault="00867B41" w:rsidP="00867B41">
            <w:pPr>
              <w:tabs>
                <w:tab w:val="left" w:pos="6285"/>
              </w:tabs>
            </w:pPr>
            <w:r>
              <w:t>4. proširenje groblja Gaja urni koje se naslanja na groblje Mirogoj.</w:t>
            </w:r>
          </w:p>
          <w:p w:rsidR="00867B41" w:rsidRDefault="00867B41" w:rsidP="00867B41">
            <w:pPr>
              <w:tabs>
                <w:tab w:val="left" w:pos="6285"/>
              </w:tabs>
            </w:pPr>
          </w:p>
          <w:p w:rsidR="00867B41" w:rsidRDefault="00867B41" w:rsidP="00867B41">
            <w:pPr>
              <w:tabs>
                <w:tab w:val="left" w:pos="6285"/>
              </w:tabs>
            </w:pPr>
            <w:r>
              <w:t xml:space="preserve">Također, usvajanjem predloženih izmjena, onemogućilo bi se ili otežalo </w:t>
            </w:r>
            <w:r>
              <w:lastRenderedPageBreak/>
              <w:t>uređenje grobnih mjesta kojima raspolažu građani, korisnici grobnih mjesta, koji imaju legitimne interese da grobna mjesta kojima raspolažu urede na način da promjene prethodne „gabarite“ grobova i grobnica što automatski ne znači da se time narušava integritet groblja Mirogoj.</w:t>
            </w:r>
          </w:p>
          <w:p w:rsidR="00867B41" w:rsidRDefault="00867B41" w:rsidP="00867B41">
            <w:pPr>
              <w:tabs>
                <w:tab w:val="left" w:pos="6285"/>
              </w:tabs>
            </w:pPr>
          </w:p>
          <w:p w:rsidR="00867B41" w:rsidRPr="00306965" w:rsidRDefault="00867B41" w:rsidP="00867B41">
            <w:pPr>
              <w:jc w:val="both"/>
            </w:pPr>
            <w:r>
              <w:rPr>
                <w:u w:val="single"/>
              </w:rPr>
              <w:t xml:space="preserve">Zaključno, </w:t>
            </w:r>
            <w:r>
              <w:rPr>
                <w:color w:val="000000"/>
                <w:u w:val="single"/>
              </w:rPr>
              <w:t>postoje</w:t>
            </w:r>
            <w:r>
              <w:rPr>
                <w:u w:val="single"/>
              </w:rPr>
              <w:t xml:space="preserve"> propisi i procedure temeljem kojih se </w:t>
            </w:r>
            <w:r>
              <w:rPr>
                <w:color w:val="000000"/>
                <w:u w:val="single"/>
              </w:rPr>
              <w:t>čuva status groblja Mirogoj kao zaštićenog kulturnog dobra od posebnog interesa za Grad Zagreb i Republiku Hrvatsku. Eventualno potrebne promjene u aktima poslovanja nadležnih tijela ne mogu biti prikladno postignute donošenjem izmjena Odluke o grobljima</w:t>
            </w:r>
          </w:p>
        </w:tc>
        <w:tc>
          <w:tcPr>
            <w:tcW w:w="2420" w:type="dxa"/>
            <w:gridSpan w:val="2"/>
            <w:tcBorders>
              <w:right w:val="thinThickSmallGap" w:sz="24" w:space="0" w:color="auto"/>
            </w:tcBorders>
            <w:shd w:val="clear" w:color="auto" w:fill="auto"/>
            <w:vAlign w:val="center"/>
          </w:tcPr>
          <w:p w:rsidR="00867B41" w:rsidRDefault="00867B41" w:rsidP="00867B41">
            <w:pPr>
              <w:shd w:val="clear" w:color="auto" w:fill="FFFFFF"/>
            </w:pPr>
            <w:r>
              <w:lastRenderedPageBreak/>
              <w:t>DJELOMIČNO SE UVAŽAVA</w:t>
            </w:r>
          </w:p>
          <w:p w:rsidR="00867B41" w:rsidRDefault="00867B41" w:rsidP="00867B41">
            <w:pPr>
              <w:shd w:val="clear" w:color="auto" w:fill="FFFFFF"/>
            </w:pPr>
          </w:p>
          <w:p w:rsidR="00867B41" w:rsidRDefault="00867B41" w:rsidP="00867B41">
            <w:pPr>
              <w:shd w:val="clear" w:color="auto" w:fill="FFFFFF"/>
              <w:rPr>
                <w:color w:val="000000"/>
              </w:rPr>
            </w:pPr>
            <w:r>
              <w:t xml:space="preserve">Mijenja se predloženi novi stavak 6. na način da isti glasi: </w:t>
            </w:r>
            <w:r>
              <w:rPr>
                <w:color w:val="000000"/>
              </w:rPr>
              <w:t xml:space="preserve">"Građevinski i drugi radovi kojima se uvode novi sadržaji i kojima se izvode drugi zahvati u prostoru u neposrednoj blizini nepokretnih pojedinačnih zaštićenih kulturnih dobara, </w:t>
            </w:r>
            <w:r w:rsidRPr="00470183">
              <w:t xml:space="preserve">osim hortikulturnih radova u kojima se koristi nisko raslinje, </w:t>
            </w:r>
            <w:r>
              <w:rPr>
                <w:color w:val="000000"/>
              </w:rPr>
              <w:t xml:space="preserve">formiranje novih </w:t>
            </w:r>
            <w:r w:rsidRPr="00F42AD3">
              <w:t>te</w:t>
            </w:r>
            <w:r>
              <w:rPr>
                <w:color w:val="000000"/>
              </w:rPr>
              <w:t xml:space="preserve"> proširenje već postojećih </w:t>
            </w:r>
            <w:r w:rsidRPr="00F42AD3">
              <w:t xml:space="preserve">grobnih polja i grobnih mjesta, </w:t>
            </w:r>
            <w:r>
              <w:rPr>
                <w:color w:val="000000"/>
              </w:rPr>
              <w:t>nisu dopušteni.“</w:t>
            </w:r>
          </w:p>
          <w:p w:rsidR="00867B41" w:rsidRDefault="00867B41" w:rsidP="00867B41">
            <w:pPr>
              <w:shd w:val="clear" w:color="auto" w:fill="FFFFFF"/>
              <w:rPr>
                <w:color w:val="000000"/>
              </w:rPr>
            </w:pPr>
          </w:p>
          <w:p w:rsidR="00867B41" w:rsidRDefault="00867B41" w:rsidP="00867B41">
            <w:pPr>
              <w:shd w:val="clear" w:color="auto" w:fill="FFFFFF"/>
            </w:pPr>
            <w:r>
              <w:t>Usvajanje predloženih dopuna ne bi smjelo onem</w:t>
            </w:r>
            <w:bookmarkStart w:id="0" w:name="_GoBack"/>
            <w:bookmarkEnd w:id="0"/>
            <w:r>
              <w:t xml:space="preserve">ogućiti planirane </w:t>
            </w:r>
            <w:r>
              <w:lastRenderedPageBreak/>
              <w:t>i buduće radove hortikulturnog uređenja kompleksa groblja Mirogoj.</w:t>
            </w:r>
          </w:p>
          <w:p w:rsidR="00867B41" w:rsidRDefault="00867B41" w:rsidP="00867B41">
            <w:pPr>
              <w:shd w:val="clear" w:color="auto" w:fill="FFFFFF"/>
            </w:pPr>
          </w:p>
          <w:p w:rsidR="00867B41" w:rsidRPr="00DB0FE7" w:rsidRDefault="00867B41" w:rsidP="00867B41">
            <w:pPr>
              <w:shd w:val="clear" w:color="auto" w:fill="FFFFFF"/>
            </w:pPr>
            <w:r>
              <w:t xml:space="preserve">U preostalom dijelu primjedbe su preopćenite, budući da se predložena dopuna odnosi samo na područje u neposrednoj blizini pojedinačnih zaštićenih kulturnih dobara, odnosno u neposrednoj blizini </w:t>
            </w:r>
            <w:r w:rsidRPr="00867B41">
              <w:t>kompleks</w:t>
            </w:r>
            <w:r>
              <w:t>a</w:t>
            </w:r>
            <w:r w:rsidRPr="00867B41">
              <w:t xml:space="preserve"> arkada s crkvom Krista Kralja na Mirogoju, te mrtvačn</w:t>
            </w:r>
            <w:r>
              <w:t>ice</w:t>
            </w:r>
            <w:r w:rsidRPr="00867B41">
              <w:t xml:space="preserve"> na Mirogoju</w:t>
            </w:r>
            <w:r>
              <w:t>, a ne na cjelokupni kompleks groblja Mirogoj.</w:t>
            </w:r>
          </w:p>
          <w:p w:rsidR="00867B41" w:rsidRPr="00306965" w:rsidRDefault="00867B41" w:rsidP="00867B41">
            <w:pPr>
              <w:shd w:val="clear" w:color="auto" w:fill="FFFFFF"/>
            </w:pPr>
          </w:p>
        </w:tc>
      </w:tr>
      <w:tr w:rsidR="00841CD0" w:rsidRPr="00306965" w:rsidTr="00841CD0">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711" w:type="dxa"/>
            <w:tcBorders>
              <w:left w:val="thinThickSmallGap" w:sz="24" w:space="0" w:color="auto"/>
            </w:tcBorders>
            <w:shd w:val="clear" w:color="auto" w:fill="auto"/>
            <w:vAlign w:val="center"/>
          </w:tcPr>
          <w:p w:rsidR="00841CD0" w:rsidRDefault="00841CD0" w:rsidP="00841CD0">
            <w:pPr>
              <w:spacing w:line="256" w:lineRule="auto"/>
              <w:rPr>
                <w:b/>
                <w:lang w:eastAsia="en-US"/>
              </w:rPr>
            </w:pPr>
            <w:r>
              <w:rPr>
                <w:b/>
                <w:lang w:eastAsia="en-US"/>
              </w:rPr>
              <w:lastRenderedPageBreak/>
              <w:t>2.</w:t>
            </w:r>
          </w:p>
        </w:tc>
        <w:tc>
          <w:tcPr>
            <w:tcW w:w="2230" w:type="dxa"/>
            <w:shd w:val="clear" w:color="auto" w:fill="auto"/>
            <w:vAlign w:val="center"/>
          </w:tcPr>
          <w:p w:rsidR="00841CD0" w:rsidRDefault="00841CD0" w:rsidP="00841CD0">
            <w:pPr>
              <w:spacing w:line="256" w:lineRule="auto"/>
              <w:rPr>
                <w:lang w:eastAsia="en-US"/>
              </w:rPr>
            </w:pPr>
            <w:r>
              <w:rPr>
                <w:lang w:eastAsia="en-US"/>
              </w:rPr>
              <w:t>Pojedinac (AS)</w:t>
            </w:r>
          </w:p>
        </w:tc>
        <w:tc>
          <w:tcPr>
            <w:tcW w:w="1584" w:type="dxa"/>
            <w:shd w:val="clear" w:color="auto" w:fill="auto"/>
            <w:vAlign w:val="center"/>
          </w:tcPr>
          <w:p w:rsidR="00841CD0" w:rsidRDefault="00841CD0" w:rsidP="00841CD0">
            <w:pPr>
              <w:spacing w:line="256" w:lineRule="auto"/>
              <w:rPr>
                <w:lang w:eastAsia="en-US"/>
              </w:rPr>
            </w:pPr>
            <w:r>
              <w:rPr>
                <w:lang w:eastAsia="en-US"/>
              </w:rPr>
              <w:t>Čl. 1.</w:t>
            </w:r>
          </w:p>
        </w:tc>
        <w:tc>
          <w:tcPr>
            <w:tcW w:w="3365" w:type="dxa"/>
            <w:shd w:val="clear" w:color="auto" w:fill="auto"/>
            <w:vAlign w:val="center"/>
          </w:tcPr>
          <w:p w:rsidR="00841CD0" w:rsidRDefault="00841CD0" w:rsidP="00841CD0">
            <w:pPr>
              <w:spacing w:line="256" w:lineRule="auto"/>
              <w:jc w:val="both"/>
              <w:rPr>
                <w:lang w:eastAsia="en-US"/>
              </w:rPr>
            </w:pPr>
            <w:r>
              <w:rPr>
                <w:lang w:eastAsia="en-US"/>
              </w:rPr>
              <w:t>Predlažem da u predloženom stavku 6. izraz „u neposrednoj blizini“ bude konkretnije definiran: da li je riječ o npr. 5m, 10m i sl., ukoliko je to moguće</w:t>
            </w:r>
          </w:p>
        </w:tc>
        <w:tc>
          <w:tcPr>
            <w:tcW w:w="2420" w:type="dxa"/>
            <w:gridSpan w:val="2"/>
            <w:tcBorders>
              <w:right w:val="thinThickSmallGap" w:sz="24" w:space="0" w:color="auto"/>
            </w:tcBorders>
            <w:shd w:val="clear" w:color="auto" w:fill="auto"/>
            <w:vAlign w:val="center"/>
          </w:tcPr>
          <w:p w:rsidR="00841CD0" w:rsidRDefault="00841CD0" w:rsidP="00841CD0">
            <w:pPr>
              <w:shd w:val="clear" w:color="auto" w:fill="FFFFFF"/>
            </w:pPr>
            <w:r>
              <w:t>NE UVAŽAVA SE</w:t>
            </w:r>
          </w:p>
          <w:p w:rsidR="00841CD0" w:rsidRDefault="00841CD0" w:rsidP="00841CD0">
            <w:pPr>
              <w:shd w:val="clear" w:color="auto" w:fill="FFFFFF"/>
            </w:pPr>
          </w:p>
          <w:p w:rsidR="00841CD0" w:rsidRDefault="00841CD0" w:rsidP="00841CD0">
            <w:pPr>
              <w:shd w:val="clear" w:color="auto" w:fill="FFFFFF"/>
            </w:pPr>
            <w:r>
              <w:t xml:space="preserve">Prihvaćanjem ovog prijedloga bio bi uspostavljen pretjerano kruti normativni okvir koji bi bio upravo suprotan intenciji predložene dopune. Intencija predložene dopune je raspraviti u gradskoj skupštini sve namjeravane zahvate u blizini </w:t>
            </w:r>
            <w:r>
              <w:rPr>
                <w:color w:val="000000"/>
              </w:rPr>
              <w:t xml:space="preserve">nepokretnih pojedinačnih zaštićenih kulturnih dobara, uzimajući u obzir njihovu vrijednost za Grad Zagreb. Odredba prema kojoj bi se mjernom jedinicom propisala udaljenost od pojedinačnog zaštićenog kulturnog dobra ne bi postigla svrhu, budući da se radi o velikoj površini </w:t>
            </w:r>
            <w:r>
              <w:rPr>
                <w:color w:val="000000"/>
              </w:rPr>
              <w:lastRenderedPageBreak/>
              <w:t>na kojoj se ne mogu primijeniti jedinstveni kriteriji koji bi mogli dovesti do onemogućavanja nužnih radova.</w:t>
            </w:r>
          </w:p>
        </w:tc>
      </w:tr>
      <w:tr w:rsidR="00841CD0" w:rsidRPr="00306965" w:rsidTr="00841CD0">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711" w:type="dxa"/>
            <w:tcBorders>
              <w:left w:val="thinThickSmallGap" w:sz="24" w:space="0" w:color="auto"/>
            </w:tcBorders>
            <w:shd w:val="clear" w:color="auto" w:fill="auto"/>
            <w:vAlign w:val="center"/>
          </w:tcPr>
          <w:p w:rsidR="00841CD0" w:rsidRDefault="00841CD0" w:rsidP="00841CD0">
            <w:pPr>
              <w:spacing w:line="256" w:lineRule="auto"/>
              <w:rPr>
                <w:b/>
                <w:lang w:eastAsia="en-US"/>
              </w:rPr>
            </w:pPr>
            <w:r>
              <w:rPr>
                <w:b/>
                <w:lang w:eastAsia="en-US"/>
              </w:rPr>
              <w:lastRenderedPageBreak/>
              <w:t>3.</w:t>
            </w:r>
          </w:p>
        </w:tc>
        <w:tc>
          <w:tcPr>
            <w:tcW w:w="2230" w:type="dxa"/>
            <w:shd w:val="clear" w:color="auto" w:fill="auto"/>
            <w:vAlign w:val="center"/>
          </w:tcPr>
          <w:p w:rsidR="00841CD0" w:rsidRDefault="00841CD0" w:rsidP="00841CD0">
            <w:pPr>
              <w:spacing w:line="256" w:lineRule="auto"/>
              <w:rPr>
                <w:lang w:eastAsia="en-US"/>
              </w:rPr>
            </w:pPr>
            <w:r>
              <w:rPr>
                <w:lang w:eastAsia="en-US"/>
              </w:rPr>
              <w:t>Pojedinac (TL)</w:t>
            </w:r>
          </w:p>
        </w:tc>
        <w:tc>
          <w:tcPr>
            <w:tcW w:w="1584" w:type="dxa"/>
            <w:shd w:val="clear" w:color="auto" w:fill="auto"/>
            <w:vAlign w:val="center"/>
          </w:tcPr>
          <w:p w:rsidR="00841CD0" w:rsidRDefault="00841CD0" w:rsidP="00841CD0">
            <w:pPr>
              <w:spacing w:line="256" w:lineRule="auto"/>
              <w:rPr>
                <w:lang w:eastAsia="en-US"/>
              </w:rPr>
            </w:pPr>
            <w:r>
              <w:rPr>
                <w:lang w:eastAsia="en-US"/>
              </w:rPr>
              <w:t>Čl. 1.</w:t>
            </w:r>
          </w:p>
        </w:tc>
        <w:tc>
          <w:tcPr>
            <w:tcW w:w="3365" w:type="dxa"/>
            <w:shd w:val="clear" w:color="auto" w:fill="auto"/>
            <w:vAlign w:val="center"/>
          </w:tcPr>
          <w:p w:rsidR="00841CD0" w:rsidRDefault="00841CD0" w:rsidP="00841CD0">
            <w:pPr>
              <w:spacing w:line="256" w:lineRule="auto"/>
              <w:jc w:val="both"/>
              <w:rPr>
                <w:lang w:eastAsia="en-US"/>
              </w:rPr>
            </w:pPr>
            <w:r>
              <w:rPr>
                <w:lang w:eastAsia="en-US"/>
              </w:rPr>
              <w:t>Molim da mi se pojasni da li se prijedlog odnosi na grobna polja poput polja 51, 50, 45, 40, 32, 7, 8, 1GI, 2GI, 1EV, 1IZ, 2IZ i 3IZ, tj. ona koja se nalaze u blizini arkada, ali s druge strane puta, koji prolazi između arkada i navedenih grobnih polja</w:t>
            </w:r>
          </w:p>
        </w:tc>
        <w:tc>
          <w:tcPr>
            <w:tcW w:w="2420" w:type="dxa"/>
            <w:gridSpan w:val="2"/>
            <w:tcBorders>
              <w:right w:val="thinThickSmallGap" w:sz="24" w:space="0" w:color="auto"/>
            </w:tcBorders>
            <w:shd w:val="clear" w:color="auto" w:fill="auto"/>
            <w:vAlign w:val="center"/>
          </w:tcPr>
          <w:p w:rsidR="00841CD0" w:rsidRDefault="00841CD0" w:rsidP="00841CD0">
            <w:pPr>
              <w:shd w:val="clear" w:color="auto" w:fill="FFFFFF"/>
            </w:pPr>
            <w:r>
              <w:t>PRIMA SE NA ZNANJE</w:t>
            </w:r>
          </w:p>
          <w:p w:rsidR="00841CD0" w:rsidRDefault="00841CD0" w:rsidP="00841CD0">
            <w:pPr>
              <w:shd w:val="clear" w:color="auto" w:fill="FFFFFF"/>
            </w:pPr>
          </w:p>
          <w:p w:rsidR="00841CD0" w:rsidRDefault="00841CD0" w:rsidP="005232BA">
            <w:pPr>
              <w:shd w:val="clear" w:color="auto" w:fill="FFFFFF"/>
            </w:pPr>
            <w:r>
              <w:t xml:space="preserve">Predložene dopune se ne odnose na grobna polja koja se nalaze s druge strane puta koji prolazi između arkada i navedenih grobnih polja. </w:t>
            </w:r>
            <w:r w:rsidR="005232BA">
              <w:t xml:space="preserve">Prijedlog se odnosi samo na neposrednu blizinu arkada kao </w:t>
            </w:r>
            <w:r w:rsidR="005232BA">
              <w:rPr>
                <w:color w:val="000000"/>
              </w:rPr>
              <w:t>nepokretnog pojedinačnog zaštićenog kulturnog dobra te na zahvate koji potencijalno mogu vizualno ili arhitektonski narušiti kompleks arkada i posljedično njegov status pojedinačnog zaštićenog kulturnog dobra.</w:t>
            </w:r>
          </w:p>
        </w:tc>
      </w:tr>
      <w:tr w:rsidR="005232BA" w:rsidRPr="00306965" w:rsidTr="00841CD0">
        <w:tblPrEx>
          <w:tblBorders>
            <w:top w:val="single" w:sz="4" w:space="0" w:color="auto"/>
            <w:left w:val="single" w:sz="4" w:space="0" w:color="auto"/>
            <w:bottom w:val="single" w:sz="4" w:space="0" w:color="auto"/>
            <w:right w:val="single" w:sz="4" w:space="0" w:color="auto"/>
            <w:insideV w:val="single" w:sz="4" w:space="0" w:color="auto"/>
          </w:tblBorders>
        </w:tblPrEx>
        <w:trPr>
          <w:trHeight w:val="1021"/>
        </w:trPr>
        <w:tc>
          <w:tcPr>
            <w:tcW w:w="711" w:type="dxa"/>
            <w:tcBorders>
              <w:left w:val="thinThickSmallGap" w:sz="24" w:space="0" w:color="auto"/>
            </w:tcBorders>
            <w:shd w:val="clear" w:color="auto" w:fill="auto"/>
            <w:vAlign w:val="center"/>
          </w:tcPr>
          <w:p w:rsidR="005232BA" w:rsidRDefault="005232BA" w:rsidP="005232BA">
            <w:pPr>
              <w:spacing w:line="256" w:lineRule="auto"/>
              <w:rPr>
                <w:b/>
                <w:lang w:eastAsia="en-US"/>
              </w:rPr>
            </w:pPr>
            <w:r>
              <w:rPr>
                <w:b/>
                <w:lang w:eastAsia="en-US"/>
              </w:rPr>
              <w:t>4.</w:t>
            </w:r>
          </w:p>
        </w:tc>
        <w:tc>
          <w:tcPr>
            <w:tcW w:w="2230" w:type="dxa"/>
            <w:shd w:val="clear" w:color="auto" w:fill="auto"/>
            <w:vAlign w:val="center"/>
          </w:tcPr>
          <w:p w:rsidR="005232BA" w:rsidRDefault="005232BA" w:rsidP="005232BA">
            <w:pPr>
              <w:spacing w:line="256" w:lineRule="auto"/>
              <w:rPr>
                <w:lang w:eastAsia="en-US"/>
              </w:rPr>
            </w:pPr>
            <w:r>
              <w:rPr>
                <w:lang w:eastAsia="en-US"/>
              </w:rPr>
              <w:t>Pojedinac (SP)</w:t>
            </w:r>
          </w:p>
        </w:tc>
        <w:tc>
          <w:tcPr>
            <w:tcW w:w="1584" w:type="dxa"/>
            <w:shd w:val="clear" w:color="auto" w:fill="auto"/>
            <w:vAlign w:val="center"/>
          </w:tcPr>
          <w:p w:rsidR="005232BA" w:rsidRDefault="005232BA" w:rsidP="005232BA">
            <w:pPr>
              <w:spacing w:line="256" w:lineRule="auto"/>
              <w:rPr>
                <w:lang w:eastAsia="en-US"/>
              </w:rPr>
            </w:pPr>
            <w:r>
              <w:rPr>
                <w:lang w:eastAsia="en-US"/>
              </w:rPr>
              <w:t>Čl. 1.</w:t>
            </w:r>
          </w:p>
        </w:tc>
        <w:tc>
          <w:tcPr>
            <w:tcW w:w="3365" w:type="dxa"/>
            <w:shd w:val="clear" w:color="auto" w:fill="auto"/>
            <w:vAlign w:val="center"/>
          </w:tcPr>
          <w:p w:rsidR="005232BA" w:rsidRDefault="005232BA" w:rsidP="005232BA">
            <w:pPr>
              <w:spacing w:line="256" w:lineRule="auto"/>
              <w:jc w:val="both"/>
              <w:rPr>
                <w:lang w:eastAsia="en-US"/>
              </w:rPr>
            </w:pPr>
            <w:r>
              <w:rPr>
                <w:lang w:eastAsia="en-US"/>
              </w:rPr>
              <w:t>Predlažem da se odluka dopuni i odredbom prema kojoj će se nezakonito izgrađeni grobovi ukloniti</w:t>
            </w:r>
          </w:p>
        </w:tc>
        <w:tc>
          <w:tcPr>
            <w:tcW w:w="2420" w:type="dxa"/>
            <w:gridSpan w:val="2"/>
            <w:tcBorders>
              <w:right w:val="thinThickSmallGap" w:sz="24" w:space="0" w:color="auto"/>
            </w:tcBorders>
            <w:shd w:val="clear" w:color="auto" w:fill="auto"/>
            <w:vAlign w:val="center"/>
          </w:tcPr>
          <w:p w:rsidR="005232BA" w:rsidRDefault="005232BA" w:rsidP="005232BA">
            <w:pPr>
              <w:shd w:val="clear" w:color="auto" w:fill="FFFFFF"/>
            </w:pPr>
            <w:r>
              <w:t>ODBIJA SE</w:t>
            </w:r>
          </w:p>
          <w:p w:rsidR="005232BA" w:rsidRDefault="005232BA" w:rsidP="005232BA">
            <w:pPr>
              <w:shd w:val="clear" w:color="auto" w:fill="FFFFFF"/>
            </w:pPr>
          </w:p>
          <w:p w:rsidR="005232BA" w:rsidRDefault="005232BA" w:rsidP="005232BA">
            <w:pPr>
              <w:shd w:val="clear" w:color="auto" w:fill="FFFFFF"/>
            </w:pPr>
            <w:r>
              <w:t xml:space="preserve">Intencija ovog prijedloga nije uklanjanje nezakonito izgrađenih grobova, što je ionako problematika regulirana drugim propisima, već isključiva buduća zaštita kompleksa groblja Mirogoj i </w:t>
            </w:r>
            <w:r>
              <w:rPr>
                <w:color w:val="000000"/>
              </w:rPr>
              <w:t>pojedinačnih zaštićenih kulturnih dobara u sklopu kompleksa groblja.</w:t>
            </w:r>
          </w:p>
        </w:tc>
      </w:tr>
    </w:tbl>
    <w:p w:rsidR="00146468" w:rsidRPr="00306965" w:rsidRDefault="00146468" w:rsidP="00DA6DF4"/>
    <w:p w:rsidR="00146468" w:rsidRPr="00920891" w:rsidRDefault="00146468" w:rsidP="00DA6DF4"/>
    <w:sectPr w:rsidR="00146468" w:rsidRPr="00920891" w:rsidSect="00487368">
      <w:pgSz w:w="11906" w:h="16838"/>
      <w:pgMar w:top="107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E6AD8"/>
    <w:multiLevelType w:val="hybridMultilevel"/>
    <w:tmpl w:val="3C2239C4"/>
    <w:lvl w:ilvl="0" w:tplc="786681BA">
      <w:start w:val="1"/>
      <w:numFmt w:val="lowerLetter"/>
      <w:lvlText w:val="%1)"/>
      <w:lvlJc w:val="left"/>
      <w:pPr>
        <w:ind w:left="825" w:hanging="4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10C2F91"/>
    <w:multiLevelType w:val="hybridMultilevel"/>
    <w:tmpl w:val="02BA1418"/>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7B81254"/>
    <w:multiLevelType w:val="hybridMultilevel"/>
    <w:tmpl w:val="4CEC6D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6D272F2"/>
    <w:multiLevelType w:val="hybridMultilevel"/>
    <w:tmpl w:val="083AF2C2"/>
    <w:lvl w:ilvl="0" w:tplc="B26668BC">
      <w:start w:val="1"/>
      <w:numFmt w:val="decimal"/>
      <w:lvlText w:val="%1."/>
      <w:lvlJc w:val="left"/>
      <w:pPr>
        <w:ind w:left="6046" w:hanging="240"/>
      </w:pPr>
      <w:rPr>
        <w:rFonts w:ascii="Times New Roman" w:eastAsia="Times New Roman" w:hAnsi="Times New Roman" w:cs="Times New Roman" w:hint="default"/>
        <w:w w:val="99"/>
        <w:sz w:val="24"/>
        <w:szCs w:val="24"/>
      </w:rPr>
    </w:lvl>
    <w:lvl w:ilvl="1" w:tplc="67AEE124">
      <w:start w:val="1"/>
      <w:numFmt w:val="bullet"/>
      <w:lvlText w:val="•"/>
      <w:lvlJc w:val="left"/>
      <w:pPr>
        <w:ind w:left="6567" w:hanging="240"/>
      </w:pPr>
    </w:lvl>
    <w:lvl w:ilvl="2" w:tplc="A696653A">
      <w:start w:val="1"/>
      <w:numFmt w:val="bullet"/>
      <w:lvlText w:val="•"/>
      <w:lvlJc w:val="left"/>
      <w:pPr>
        <w:ind w:left="7089" w:hanging="240"/>
      </w:pPr>
    </w:lvl>
    <w:lvl w:ilvl="3" w:tplc="EBCA409E">
      <w:start w:val="1"/>
      <w:numFmt w:val="bullet"/>
      <w:lvlText w:val="•"/>
      <w:lvlJc w:val="left"/>
      <w:pPr>
        <w:ind w:left="7610" w:hanging="240"/>
      </w:pPr>
    </w:lvl>
    <w:lvl w:ilvl="4" w:tplc="527CB17C">
      <w:start w:val="1"/>
      <w:numFmt w:val="bullet"/>
      <w:lvlText w:val="•"/>
      <w:lvlJc w:val="left"/>
      <w:pPr>
        <w:ind w:left="8131" w:hanging="240"/>
      </w:pPr>
    </w:lvl>
    <w:lvl w:ilvl="5" w:tplc="6BBC61D0">
      <w:start w:val="1"/>
      <w:numFmt w:val="bullet"/>
      <w:lvlText w:val="•"/>
      <w:lvlJc w:val="left"/>
      <w:pPr>
        <w:ind w:left="8652" w:hanging="240"/>
      </w:pPr>
    </w:lvl>
    <w:lvl w:ilvl="6" w:tplc="C1EE6084">
      <w:start w:val="1"/>
      <w:numFmt w:val="bullet"/>
      <w:lvlText w:val="•"/>
      <w:lvlJc w:val="left"/>
      <w:pPr>
        <w:ind w:left="9174" w:hanging="240"/>
      </w:pPr>
    </w:lvl>
    <w:lvl w:ilvl="7" w:tplc="2A4E6706">
      <w:start w:val="1"/>
      <w:numFmt w:val="bullet"/>
      <w:lvlText w:val="•"/>
      <w:lvlJc w:val="left"/>
      <w:pPr>
        <w:ind w:left="9695" w:hanging="240"/>
      </w:pPr>
    </w:lvl>
    <w:lvl w:ilvl="8" w:tplc="D346AD5E">
      <w:start w:val="1"/>
      <w:numFmt w:val="bullet"/>
      <w:lvlText w:val="•"/>
      <w:lvlJc w:val="left"/>
      <w:pPr>
        <w:ind w:left="10216" w:hanging="240"/>
      </w:pPr>
    </w:lvl>
  </w:abstractNum>
  <w:abstractNum w:abstractNumId="4" w15:restartNumberingAfterBreak="0">
    <w:nsid w:val="57761E54"/>
    <w:multiLevelType w:val="hybridMultilevel"/>
    <w:tmpl w:val="3C2239C4"/>
    <w:lvl w:ilvl="0" w:tplc="786681BA">
      <w:start w:val="1"/>
      <w:numFmt w:val="lowerLetter"/>
      <w:lvlText w:val="%1)"/>
      <w:lvlJc w:val="left"/>
      <w:pPr>
        <w:ind w:left="825" w:hanging="4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912627B"/>
    <w:multiLevelType w:val="hybridMultilevel"/>
    <w:tmpl w:val="2C869986"/>
    <w:lvl w:ilvl="0" w:tplc="D12618BC">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5D112D1B"/>
    <w:multiLevelType w:val="hybridMultilevel"/>
    <w:tmpl w:val="304640F4"/>
    <w:lvl w:ilvl="0" w:tplc="549C6878">
      <w:start w:val="5"/>
      <w:numFmt w:val="lowerLetter"/>
      <w:lvlText w:val="%1)"/>
      <w:lvlJc w:val="left"/>
      <w:pPr>
        <w:ind w:left="95" w:hanging="247"/>
      </w:pPr>
      <w:rPr>
        <w:rFonts w:ascii="Times New Roman" w:eastAsia="Times New Roman" w:hAnsi="Times New Roman" w:cs="Times New Roman" w:hint="default"/>
        <w:w w:val="99"/>
        <w:sz w:val="24"/>
        <w:szCs w:val="24"/>
      </w:rPr>
    </w:lvl>
    <w:lvl w:ilvl="1" w:tplc="32D43C74">
      <w:start w:val="1"/>
      <w:numFmt w:val="bullet"/>
      <w:lvlText w:val="•"/>
      <w:lvlJc w:val="left"/>
      <w:pPr>
        <w:ind w:left="600" w:hanging="247"/>
      </w:pPr>
    </w:lvl>
    <w:lvl w:ilvl="2" w:tplc="8B4C6088">
      <w:start w:val="1"/>
      <w:numFmt w:val="bullet"/>
      <w:lvlText w:val="•"/>
      <w:lvlJc w:val="left"/>
      <w:pPr>
        <w:ind w:left="1104" w:hanging="247"/>
      </w:pPr>
    </w:lvl>
    <w:lvl w:ilvl="3" w:tplc="CD8CFE86">
      <w:start w:val="1"/>
      <w:numFmt w:val="bullet"/>
      <w:lvlText w:val="•"/>
      <w:lvlJc w:val="left"/>
      <w:pPr>
        <w:ind w:left="1608" w:hanging="247"/>
      </w:pPr>
    </w:lvl>
    <w:lvl w:ilvl="4" w:tplc="FFF27836">
      <w:start w:val="1"/>
      <w:numFmt w:val="bullet"/>
      <w:lvlText w:val="•"/>
      <w:lvlJc w:val="left"/>
      <w:pPr>
        <w:ind w:left="2112" w:hanging="247"/>
      </w:pPr>
    </w:lvl>
    <w:lvl w:ilvl="5" w:tplc="4588EEA6">
      <w:start w:val="1"/>
      <w:numFmt w:val="bullet"/>
      <w:lvlText w:val="•"/>
      <w:lvlJc w:val="left"/>
      <w:pPr>
        <w:ind w:left="2617" w:hanging="247"/>
      </w:pPr>
    </w:lvl>
    <w:lvl w:ilvl="6" w:tplc="20582698">
      <w:start w:val="1"/>
      <w:numFmt w:val="bullet"/>
      <w:lvlText w:val="•"/>
      <w:lvlJc w:val="left"/>
      <w:pPr>
        <w:ind w:left="3121" w:hanging="247"/>
      </w:pPr>
    </w:lvl>
    <w:lvl w:ilvl="7" w:tplc="FFCCFA30">
      <w:start w:val="1"/>
      <w:numFmt w:val="bullet"/>
      <w:lvlText w:val="•"/>
      <w:lvlJc w:val="left"/>
      <w:pPr>
        <w:ind w:left="3625" w:hanging="247"/>
      </w:pPr>
    </w:lvl>
    <w:lvl w:ilvl="8" w:tplc="9A44CBA2">
      <w:start w:val="1"/>
      <w:numFmt w:val="bullet"/>
      <w:lvlText w:val="•"/>
      <w:lvlJc w:val="left"/>
      <w:pPr>
        <w:ind w:left="4130" w:hanging="247"/>
      </w:pPr>
    </w:lvl>
  </w:abstractNum>
  <w:num w:numId="1">
    <w:abstractNumId w:val="5"/>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4"/>
  </w:num>
  <w:num w:numId="5">
    <w:abstractNumId w:val="6"/>
    <w:lvlOverride w:ilvl="0">
      <w:startOverride w:val="5"/>
    </w:lvlOverride>
    <w:lvlOverride w:ilvl="1"/>
    <w:lvlOverride w:ilvl="2"/>
    <w:lvlOverride w:ilvl="3"/>
    <w:lvlOverride w:ilvl="4"/>
    <w:lvlOverride w:ilvl="5"/>
    <w:lvlOverride w:ilvl="6"/>
    <w:lvlOverride w:ilvl="7"/>
    <w:lvlOverride w:ilvl="8"/>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6D7"/>
    <w:rsid w:val="00024154"/>
    <w:rsid w:val="000E5702"/>
    <w:rsid w:val="00146468"/>
    <w:rsid w:val="001D2EAF"/>
    <w:rsid w:val="001D42AD"/>
    <w:rsid w:val="002F76BC"/>
    <w:rsid w:val="00306965"/>
    <w:rsid w:val="003A2252"/>
    <w:rsid w:val="003B4D7D"/>
    <w:rsid w:val="00433D1D"/>
    <w:rsid w:val="00437CD4"/>
    <w:rsid w:val="004427D9"/>
    <w:rsid w:val="00443C00"/>
    <w:rsid w:val="00466BA6"/>
    <w:rsid w:val="00470183"/>
    <w:rsid w:val="00486B2D"/>
    <w:rsid w:val="005232BA"/>
    <w:rsid w:val="00533108"/>
    <w:rsid w:val="00575BBD"/>
    <w:rsid w:val="00596DF8"/>
    <w:rsid w:val="005A502C"/>
    <w:rsid w:val="00610FBD"/>
    <w:rsid w:val="00631523"/>
    <w:rsid w:val="006504E8"/>
    <w:rsid w:val="006915F8"/>
    <w:rsid w:val="00741D12"/>
    <w:rsid w:val="0076038E"/>
    <w:rsid w:val="007A40E8"/>
    <w:rsid w:val="007B64D1"/>
    <w:rsid w:val="007C19FD"/>
    <w:rsid w:val="007E30CC"/>
    <w:rsid w:val="00841CD0"/>
    <w:rsid w:val="00864C5D"/>
    <w:rsid w:val="00867B41"/>
    <w:rsid w:val="008A43AD"/>
    <w:rsid w:val="008A6354"/>
    <w:rsid w:val="008E682D"/>
    <w:rsid w:val="00920891"/>
    <w:rsid w:val="0094670E"/>
    <w:rsid w:val="009D77B3"/>
    <w:rsid w:val="00A02A93"/>
    <w:rsid w:val="00A543CE"/>
    <w:rsid w:val="00A665AE"/>
    <w:rsid w:val="00A902A1"/>
    <w:rsid w:val="00A90943"/>
    <w:rsid w:val="00B176CD"/>
    <w:rsid w:val="00BA5B9A"/>
    <w:rsid w:val="00C44384"/>
    <w:rsid w:val="00DA6DF4"/>
    <w:rsid w:val="00DB0FE7"/>
    <w:rsid w:val="00F2454A"/>
    <w:rsid w:val="00F43A81"/>
    <w:rsid w:val="00F76196"/>
    <w:rsid w:val="00FA0867"/>
    <w:rsid w:val="00FA36D7"/>
    <w:rsid w:val="00FD5D4C"/>
    <w:rsid w:val="00FE5E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811AB-7B6F-4D90-A3D2-7D11B541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6D7"/>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631523"/>
    <w:pPr>
      <w:widowControl w:val="0"/>
      <w:ind w:left="6046"/>
      <w:outlineLvl w:val="0"/>
    </w:pPr>
    <w:rPr>
      <w:rFonts w:cstheme="minorBidi"/>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6CD"/>
    <w:rPr>
      <w:rFonts w:ascii="Segoe UI" w:eastAsia="Times New Roman" w:hAnsi="Segoe UI" w:cs="Segoe UI"/>
      <w:sz w:val="18"/>
      <w:szCs w:val="18"/>
      <w:lang w:eastAsia="hr-HR"/>
    </w:rPr>
  </w:style>
  <w:style w:type="paragraph" w:styleId="NoSpacing">
    <w:name w:val="No Spacing"/>
    <w:uiPriority w:val="1"/>
    <w:qFormat/>
    <w:rsid w:val="008A43AD"/>
    <w:pPr>
      <w:spacing w:after="0" w:line="240" w:lineRule="auto"/>
    </w:pPr>
    <w:rPr>
      <w:rFonts w:ascii="Times New Roman" w:eastAsia="Times New Roman" w:hAnsi="Times New Roman" w:cs="Times New Roman"/>
      <w:color w:val="000000"/>
      <w:sz w:val="24"/>
      <w:szCs w:val="24"/>
      <w:lang w:eastAsia="hr-HR"/>
    </w:rPr>
  </w:style>
  <w:style w:type="paragraph" w:customStyle="1" w:styleId="TableParagraph">
    <w:name w:val="Table Paragraph"/>
    <w:basedOn w:val="Normal"/>
    <w:uiPriority w:val="1"/>
    <w:qFormat/>
    <w:rsid w:val="00631523"/>
    <w:pPr>
      <w:widowControl w:val="0"/>
    </w:pPr>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uiPriority w:val="9"/>
    <w:rsid w:val="00631523"/>
    <w:rPr>
      <w:rFonts w:ascii="Times New Roman" w:eastAsia="Times New Roman" w:hAnsi="Times New Roman"/>
      <w:b/>
      <w:bCs/>
      <w:sz w:val="24"/>
      <w:szCs w:val="24"/>
      <w:lang w:val="en-US"/>
    </w:rPr>
  </w:style>
  <w:style w:type="paragraph" w:styleId="BodyText">
    <w:name w:val="Body Text"/>
    <w:basedOn w:val="Normal"/>
    <w:link w:val="BodyTextChar"/>
    <w:uiPriority w:val="1"/>
    <w:semiHidden/>
    <w:unhideWhenUsed/>
    <w:qFormat/>
    <w:rsid w:val="00631523"/>
    <w:pPr>
      <w:widowControl w:val="0"/>
      <w:ind w:left="6046"/>
    </w:pPr>
    <w:rPr>
      <w:rFonts w:cstheme="minorBidi"/>
      <w:lang w:val="en-US" w:eastAsia="en-US"/>
    </w:rPr>
  </w:style>
  <w:style w:type="character" w:customStyle="1" w:styleId="BodyTextChar">
    <w:name w:val="Body Text Char"/>
    <w:basedOn w:val="DefaultParagraphFont"/>
    <w:link w:val="BodyText"/>
    <w:uiPriority w:val="1"/>
    <w:semiHidden/>
    <w:rsid w:val="00631523"/>
    <w:rPr>
      <w:rFonts w:ascii="Times New Roman" w:eastAsia="Times New Roman" w:hAnsi="Times New Roman"/>
      <w:sz w:val="24"/>
      <w:szCs w:val="24"/>
      <w:lang w:val="en-US"/>
    </w:rPr>
  </w:style>
  <w:style w:type="paragraph" w:styleId="ListParagraph">
    <w:name w:val="List Paragraph"/>
    <w:basedOn w:val="Normal"/>
    <w:uiPriority w:val="34"/>
    <w:qFormat/>
    <w:rsid w:val="00631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86841">
      <w:bodyDiv w:val="1"/>
      <w:marLeft w:val="0"/>
      <w:marRight w:val="0"/>
      <w:marTop w:val="0"/>
      <w:marBottom w:val="0"/>
      <w:divBdr>
        <w:top w:val="none" w:sz="0" w:space="0" w:color="auto"/>
        <w:left w:val="none" w:sz="0" w:space="0" w:color="auto"/>
        <w:bottom w:val="none" w:sz="0" w:space="0" w:color="auto"/>
        <w:right w:val="none" w:sz="0" w:space="0" w:color="auto"/>
      </w:divBdr>
    </w:div>
    <w:div w:id="239952809">
      <w:bodyDiv w:val="1"/>
      <w:marLeft w:val="0"/>
      <w:marRight w:val="0"/>
      <w:marTop w:val="0"/>
      <w:marBottom w:val="0"/>
      <w:divBdr>
        <w:top w:val="none" w:sz="0" w:space="0" w:color="auto"/>
        <w:left w:val="none" w:sz="0" w:space="0" w:color="auto"/>
        <w:bottom w:val="none" w:sz="0" w:space="0" w:color="auto"/>
        <w:right w:val="none" w:sz="0" w:space="0" w:color="auto"/>
      </w:divBdr>
    </w:div>
    <w:div w:id="758258409">
      <w:bodyDiv w:val="1"/>
      <w:marLeft w:val="0"/>
      <w:marRight w:val="0"/>
      <w:marTop w:val="0"/>
      <w:marBottom w:val="0"/>
      <w:divBdr>
        <w:top w:val="none" w:sz="0" w:space="0" w:color="auto"/>
        <w:left w:val="none" w:sz="0" w:space="0" w:color="auto"/>
        <w:bottom w:val="none" w:sz="0" w:space="0" w:color="auto"/>
        <w:right w:val="none" w:sz="0" w:space="0" w:color="auto"/>
      </w:divBdr>
    </w:div>
    <w:div w:id="853610995">
      <w:bodyDiv w:val="1"/>
      <w:marLeft w:val="0"/>
      <w:marRight w:val="0"/>
      <w:marTop w:val="0"/>
      <w:marBottom w:val="0"/>
      <w:divBdr>
        <w:top w:val="none" w:sz="0" w:space="0" w:color="auto"/>
        <w:left w:val="none" w:sz="0" w:space="0" w:color="auto"/>
        <w:bottom w:val="none" w:sz="0" w:space="0" w:color="auto"/>
        <w:right w:val="none" w:sz="0" w:space="0" w:color="auto"/>
      </w:divBdr>
    </w:div>
    <w:div w:id="895967856">
      <w:bodyDiv w:val="1"/>
      <w:marLeft w:val="0"/>
      <w:marRight w:val="0"/>
      <w:marTop w:val="0"/>
      <w:marBottom w:val="0"/>
      <w:divBdr>
        <w:top w:val="none" w:sz="0" w:space="0" w:color="auto"/>
        <w:left w:val="none" w:sz="0" w:space="0" w:color="auto"/>
        <w:bottom w:val="none" w:sz="0" w:space="0" w:color="auto"/>
        <w:right w:val="none" w:sz="0" w:space="0" w:color="auto"/>
      </w:divBdr>
    </w:div>
    <w:div w:id="995304933">
      <w:bodyDiv w:val="1"/>
      <w:marLeft w:val="0"/>
      <w:marRight w:val="0"/>
      <w:marTop w:val="0"/>
      <w:marBottom w:val="0"/>
      <w:divBdr>
        <w:top w:val="none" w:sz="0" w:space="0" w:color="auto"/>
        <w:left w:val="none" w:sz="0" w:space="0" w:color="auto"/>
        <w:bottom w:val="none" w:sz="0" w:space="0" w:color="auto"/>
        <w:right w:val="none" w:sz="0" w:space="0" w:color="auto"/>
      </w:divBdr>
    </w:div>
    <w:div w:id="1086730359">
      <w:bodyDiv w:val="1"/>
      <w:marLeft w:val="0"/>
      <w:marRight w:val="0"/>
      <w:marTop w:val="0"/>
      <w:marBottom w:val="0"/>
      <w:divBdr>
        <w:top w:val="none" w:sz="0" w:space="0" w:color="auto"/>
        <w:left w:val="none" w:sz="0" w:space="0" w:color="auto"/>
        <w:bottom w:val="none" w:sz="0" w:space="0" w:color="auto"/>
        <w:right w:val="none" w:sz="0" w:space="0" w:color="auto"/>
      </w:divBdr>
    </w:div>
    <w:div w:id="1287271305">
      <w:bodyDiv w:val="1"/>
      <w:marLeft w:val="0"/>
      <w:marRight w:val="0"/>
      <w:marTop w:val="0"/>
      <w:marBottom w:val="0"/>
      <w:divBdr>
        <w:top w:val="none" w:sz="0" w:space="0" w:color="auto"/>
        <w:left w:val="none" w:sz="0" w:space="0" w:color="auto"/>
        <w:bottom w:val="none" w:sz="0" w:space="0" w:color="auto"/>
        <w:right w:val="none" w:sz="0" w:space="0" w:color="auto"/>
      </w:divBdr>
    </w:div>
    <w:div w:id="1640726088">
      <w:bodyDiv w:val="1"/>
      <w:marLeft w:val="0"/>
      <w:marRight w:val="0"/>
      <w:marTop w:val="0"/>
      <w:marBottom w:val="0"/>
      <w:divBdr>
        <w:top w:val="none" w:sz="0" w:space="0" w:color="auto"/>
        <w:left w:val="none" w:sz="0" w:space="0" w:color="auto"/>
        <w:bottom w:val="none" w:sz="0" w:space="0" w:color="auto"/>
        <w:right w:val="none" w:sz="0" w:space="0" w:color="auto"/>
      </w:divBdr>
    </w:div>
    <w:div w:id="1732920369">
      <w:bodyDiv w:val="1"/>
      <w:marLeft w:val="0"/>
      <w:marRight w:val="0"/>
      <w:marTop w:val="0"/>
      <w:marBottom w:val="0"/>
      <w:divBdr>
        <w:top w:val="none" w:sz="0" w:space="0" w:color="auto"/>
        <w:left w:val="none" w:sz="0" w:space="0" w:color="auto"/>
        <w:bottom w:val="none" w:sz="0" w:space="0" w:color="auto"/>
        <w:right w:val="none" w:sz="0" w:space="0" w:color="auto"/>
      </w:divBdr>
    </w:div>
    <w:div w:id="1861581218">
      <w:bodyDiv w:val="1"/>
      <w:marLeft w:val="0"/>
      <w:marRight w:val="0"/>
      <w:marTop w:val="0"/>
      <w:marBottom w:val="0"/>
      <w:divBdr>
        <w:top w:val="none" w:sz="0" w:space="0" w:color="auto"/>
        <w:left w:val="none" w:sz="0" w:space="0" w:color="auto"/>
        <w:bottom w:val="none" w:sz="0" w:space="0" w:color="auto"/>
        <w:right w:val="none" w:sz="0" w:space="0" w:color="auto"/>
      </w:divBdr>
    </w:div>
    <w:div w:id="190652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Kontrec</dc:creator>
  <cp:keywords/>
  <dc:description/>
  <cp:lastModifiedBy>Tina Masar</cp:lastModifiedBy>
  <cp:revision>4</cp:revision>
  <cp:lastPrinted>2019-11-19T11:29:00Z</cp:lastPrinted>
  <dcterms:created xsi:type="dcterms:W3CDTF">2021-11-22T11:31:00Z</dcterms:created>
  <dcterms:modified xsi:type="dcterms:W3CDTF">2021-12-08T12:37:00Z</dcterms:modified>
</cp:coreProperties>
</file>